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916" w:rsidRDefault="00DD2916" w:rsidP="00051334">
      <w:pPr>
        <w:spacing w:after="0" w:line="240" w:lineRule="auto"/>
        <w:jc w:val="center"/>
        <w:outlineLvl w:val="0"/>
        <w:rPr>
          <w:rFonts w:ascii="Times New Roman" w:eastAsia="Times New Roman" w:hAnsi="Times New Roman" w:cs="Times New Roman"/>
          <w:b/>
          <w:bCs/>
          <w:kern w:val="36"/>
          <w:sz w:val="26"/>
          <w:szCs w:val="26"/>
          <w:lang w:eastAsia="ru-RU"/>
        </w:rPr>
      </w:pPr>
    </w:p>
    <w:p w:rsidR="00DD2916" w:rsidRDefault="00DD2916" w:rsidP="00051334">
      <w:pPr>
        <w:spacing w:after="0" w:line="240" w:lineRule="auto"/>
        <w:jc w:val="center"/>
        <w:outlineLvl w:val="0"/>
        <w:rPr>
          <w:rFonts w:ascii="Times New Roman" w:eastAsia="Times New Roman" w:hAnsi="Times New Roman" w:cs="Times New Roman"/>
          <w:b/>
          <w:bCs/>
          <w:kern w:val="36"/>
          <w:sz w:val="26"/>
          <w:szCs w:val="26"/>
          <w:lang w:eastAsia="ru-RU"/>
        </w:rPr>
      </w:pPr>
    </w:p>
    <w:p w:rsidR="00220DCF" w:rsidRPr="00DD2916" w:rsidRDefault="002E3AA3" w:rsidP="00051334">
      <w:pPr>
        <w:spacing w:after="0" w:line="240" w:lineRule="auto"/>
        <w:jc w:val="center"/>
        <w:outlineLvl w:val="0"/>
        <w:rPr>
          <w:rFonts w:ascii="Times New Roman" w:eastAsia="Times New Roman" w:hAnsi="Times New Roman" w:cs="Times New Roman"/>
          <w:b/>
          <w:bCs/>
          <w:kern w:val="36"/>
          <w:sz w:val="26"/>
          <w:szCs w:val="26"/>
          <w:lang w:eastAsia="ru-RU"/>
        </w:rPr>
      </w:pPr>
      <w:r w:rsidRPr="002E3AA3">
        <w:rPr>
          <w:rFonts w:ascii="Times New Roman" w:eastAsia="Times New Roman" w:hAnsi="Times New Roman" w:cs="Times New Roman"/>
          <w:b/>
          <w:bCs/>
          <w:kern w:val="36"/>
          <w:sz w:val="26"/>
          <w:szCs w:val="26"/>
          <w:lang w:eastAsia="ru-RU"/>
        </w:rPr>
        <w:t>Тюкалинская межрайонная прокуратура</w:t>
      </w:r>
      <w:r w:rsidR="00DD17A7" w:rsidRPr="002E3AA3">
        <w:rPr>
          <w:rFonts w:ascii="Times New Roman" w:eastAsia="Times New Roman" w:hAnsi="Times New Roman" w:cs="Times New Roman"/>
          <w:b/>
          <w:bCs/>
          <w:kern w:val="36"/>
          <w:sz w:val="26"/>
          <w:szCs w:val="26"/>
          <w:lang w:eastAsia="ru-RU"/>
        </w:rPr>
        <w:t xml:space="preserve"> </w:t>
      </w:r>
      <w:r w:rsidR="00220DCF" w:rsidRPr="00DD2916">
        <w:rPr>
          <w:rFonts w:ascii="Times New Roman" w:eastAsia="Times New Roman" w:hAnsi="Times New Roman" w:cs="Times New Roman"/>
          <w:b/>
          <w:bCs/>
          <w:kern w:val="36"/>
          <w:sz w:val="26"/>
          <w:szCs w:val="26"/>
          <w:lang w:eastAsia="ru-RU"/>
        </w:rPr>
        <w:t>разъясняет</w:t>
      </w:r>
      <w:r w:rsidR="00DD2916" w:rsidRPr="00DD2916">
        <w:rPr>
          <w:rFonts w:ascii="Times New Roman" w:eastAsia="Times New Roman" w:hAnsi="Times New Roman" w:cs="Times New Roman"/>
          <w:b/>
          <w:bCs/>
          <w:kern w:val="36"/>
          <w:sz w:val="26"/>
          <w:szCs w:val="26"/>
          <w:lang w:eastAsia="ru-RU"/>
        </w:rPr>
        <w:t>:</w:t>
      </w:r>
    </w:p>
    <w:p w:rsidR="00051334" w:rsidRPr="00DD2916" w:rsidRDefault="00051334" w:rsidP="00051334">
      <w:pPr>
        <w:spacing w:after="0" w:line="240" w:lineRule="auto"/>
        <w:jc w:val="center"/>
        <w:outlineLvl w:val="0"/>
        <w:rPr>
          <w:rFonts w:ascii="Times New Roman" w:eastAsia="Times New Roman" w:hAnsi="Times New Roman" w:cs="Times New Roman"/>
          <w:b/>
          <w:bCs/>
          <w:kern w:val="36"/>
          <w:sz w:val="26"/>
          <w:szCs w:val="26"/>
          <w:lang w:eastAsia="ru-RU"/>
        </w:rPr>
      </w:pPr>
      <w:r w:rsidRPr="00DD2916">
        <w:rPr>
          <w:rFonts w:ascii="Times New Roman" w:eastAsia="Times New Roman" w:hAnsi="Times New Roman" w:cs="Times New Roman"/>
          <w:b/>
          <w:bCs/>
          <w:kern w:val="36"/>
          <w:sz w:val="26"/>
          <w:szCs w:val="26"/>
          <w:lang w:eastAsia="ru-RU"/>
        </w:rPr>
        <w:t>Соблюдение обязанностей по предупреждению коррупции, предусмотренных ст. 13.3 Федерального закона «О противодействии коррупции»</w:t>
      </w:r>
    </w:p>
    <w:p w:rsidR="003370A5" w:rsidRPr="00DD2916" w:rsidRDefault="003370A5" w:rsidP="00051334">
      <w:pPr>
        <w:pStyle w:val="1"/>
        <w:spacing w:before="0" w:beforeAutospacing="0" w:after="0" w:afterAutospacing="0"/>
        <w:jc w:val="both"/>
        <w:rPr>
          <w:sz w:val="26"/>
          <w:szCs w:val="26"/>
        </w:rPr>
      </w:pP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Федеральным законом от 25.12.2008 № 273-ФЗ «О противодействии коррупции» дано следующее определение понятию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Важно понимать, что к коррупционным деяниям относятся следующие преступления: дача взятки (статья 291 УК РФ), получение взятки (статья 290 УК РФ), злоупотребление полномочиями (статья 201 УК РФ), коммерческий подкуп (статья 204 УК РФ), злоупотребление служебным положением (статьи 285 и 286 Уголовного кодекса Российской Федерации, далее - УК РФ), а также иные деяния, попадающие под понятие "коррупция", указанное выше.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В России с 1 января 2013 г. в соответствии со ст. 13.3 указанного Федерального закона «О противодействии коррупции» на все российские организации возложена обязанность по разработке и принятию мер, направленных на предупреждение коррупции. Меры по предупреждению коррупции могут включать: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1) определение подразделений или должностных лиц, ответственных за профилактику коррупционных и иных правонарушений;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2) сотрудничество организации с правоохранительными органами;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3) разработку и внедрение в практику стандартов и процедур, направленных на обеспечение добросовестной работы организации;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4) принятие кодекса этики и служебного поведения работников организации;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5) предотвращение и урегулирование конфликта интересов;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6) недопущение составления неофициальной отчетности и использования поддельных документов.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Во исполнение подпункта Указа Президента Российской Федерации от 02.047.2013 № 309 «О мерах по реализации отдельных положений Федерального закона «О противодействии коррупции» и в соответствии со статьей 13.3 Федерального закона «О противодействии коррупции» разработаны методические рекомендации по разработке и принятию организациями мер по предупреждению и противодействию коррупции. </w:t>
      </w:r>
    </w:p>
    <w:p w:rsidR="00051334" w:rsidRPr="00DD2916" w:rsidRDefault="00051334" w:rsidP="00051334">
      <w:pPr>
        <w:pStyle w:val="a3"/>
        <w:spacing w:before="0" w:beforeAutospacing="0" w:after="0" w:afterAutospacing="0"/>
        <w:ind w:firstLine="709"/>
        <w:jc w:val="both"/>
        <w:rPr>
          <w:sz w:val="26"/>
          <w:szCs w:val="26"/>
        </w:rPr>
      </w:pPr>
      <w:r w:rsidRPr="00DD2916">
        <w:rPr>
          <w:sz w:val="26"/>
          <w:szCs w:val="26"/>
        </w:rPr>
        <w:t xml:space="preserve">Требования закона в данной части распространяются на все организации независимо от организационно правовой формы. </w:t>
      </w:r>
    </w:p>
    <w:p w:rsidR="00E84708" w:rsidRPr="00DD2916" w:rsidRDefault="00E84708" w:rsidP="00051334">
      <w:pPr>
        <w:pStyle w:val="a3"/>
        <w:spacing w:before="0" w:beforeAutospacing="0" w:after="0" w:afterAutospacing="0"/>
        <w:ind w:firstLine="709"/>
        <w:jc w:val="both"/>
        <w:rPr>
          <w:sz w:val="26"/>
          <w:szCs w:val="26"/>
        </w:rPr>
      </w:pPr>
    </w:p>
    <w:p w:rsidR="00AA6BC4" w:rsidRPr="00051334" w:rsidRDefault="00AA6BC4" w:rsidP="00DD2916">
      <w:pPr>
        <w:pStyle w:val="a3"/>
        <w:spacing w:before="0" w:beforeAutospacing="0" w:after="0" w:afterAutospacing="0"/>
        <w:jc w:val="both"/>
        <w:rPr>
          <w:sz w:val="28"/>
          <w:szCs w:val="28"/>
        </w:rPr>
      </w:pPr>
      <w:bookmarkStart w:id="0" w:name="_GoBack"/>
      <w:bookmarkEnd w:id="0"/>
    </w:p>
    <w:sectPr w:rsidR="00AA6BC4" w:rsidRPr="00051334" w:rsidSect="00051334">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33F93"/>
    <w:rsid w:val="000079CC"/>
    <w:rsid w:val="00033F93"/>
    <w:rsid w:val="00051334"/>
    <w:rsid w:val="0009235A"/>
    <w:rsid w:val="000C7E53"/>
    <w:rsid w:val="00157E28"/>
    <w:rsid w:val="00161063"/>
    <w:rsid w:val="00177620"/>
    <w:rsid w:val="0019414D"/>
    <w:rsid w:val="00201BD5"/>
    <w:rsid w:val="00220DCF"/>
    <w:rsid w:val="002413F8"/>
    <w:rsid w:val="002C0235"/>
    <w:rsid w:val="002E3AA3"/>
    <w:rsid w:val="003370A5"/>
    <w:rsid w:val="00375A40"/>
    <w:rsid w:val="00476543"/>
    <w:rsid w:val="00614483"/>
    <w:rsid w:val="006615A7"/>
    <w:rsid w:val="007E4FEB"/>
    <w:rsid w:val="008377CD"/>
    <w:rsid w:val="008505FA"/>
    <w:rsid w:val="00964B98"/>
    <w:rsid w:val="00991590"/>
    <w:rsid w:val="00A140D7"/>
    <w:rsid w:val="00AA6BC4"/>
    <w:rsid w:val="00C4767E"/>
    <w:rsid w:val="00C62570"/>
    <w:rsid w:val="00C7411A"/>
    <w:rsid w:val="00C85B8B"/>
    <w:rsid w:val="00DD17A7"/>
    <w:rsid w:val="00DD2916"/>
    <w:rsid w:val="00DE3237"/>
    <w:rsid w:val="00E110E7"/>
    <w:rsid w:val="00E46271"/>
    <w:rsid w:val="00E551DB"/>
    <w:rsid w:val="00E81405"/>
    <w:rsid w:val="00E84708"/>
    <w:rsid w:val="00E919E4"/>
    <w:rsid w:val="00ED381F"/>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E5CC"/>
  <w15:docId w15:val="{5D7BBEE5-9D0A-4D03-915E-7BFDD304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37363541">
      <w:bodyDiv w:val="1"/>
      <w:marLeft w:val="0"/>
      <w:marRight w:val="0"/>
      <w:marTop w:val="0"/>
      <w:marBottom w:val="0"/>
      <w:divBdr>
        <w:top w:val="none" w:sz="0" w:space="0" w:color="auto"/>
        <w:left w:val="none" w:sz="0" w:space="0" w:color="auto"/>
        <w:bottom w:val="none" w:sz="0" w:space="0" w:color="auto"/>
        <w:right w:val="none" w:sz="0" w:space="0" w:color="auto"/>
      </w:divBdr>
    </w:div>
    <w:div w:id="48383360">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81265238">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36605587">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18983247">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347610096">
      <w:bodyDiv w:val="1"/>
      <w:marLeft w:val="0"/>
      <w:marRight w:val="0"/>
      <w:marTop w:val="0"/>
      <w:marBottom w:val="0"/>
      <w:divBdr>
        <w:top w:val="none" w:sz="0" w:space="0" w:color="auto"/>
        <w:left w:val="none" w:sz="0" w:space="0" w:color="auto"/>
        <w:bottom w:val="none" w:sz="0" w:space="0" w:color="auto"/>
        <w:right w:val="none" w:sz="0" w:space="0" w:color="auto"/>
      </w:divBdr>
    </w:div>
    <w:div w:id="413168205">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49851971">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600379135">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847452352">
      <w:bodyDiv w:val="1"/>
      <w:marLeft w:val="0"/>
      <w:marRight w:val="0"/>
      <w:marTop w:val="0"/>
      <w:marBottom w:val="0"/>
      <w:divBdr>
        <w:top w:val="none" w:sz="0" w:space="0" w:color="auto"/>
        <w:left w:val="none" w:sz="0" w:space="0" w:color="auto"/>
        <w:bottom w:val="none" w:sz="0" w:space="0" w:color="auto"/>
        <w:right w:val="none" w:sz="0" w:space="0" w:color="auto"/>
      </w:divBdr>
    </w:div>
    <w:div w:id="911625703">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46893131">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294098460">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49480805">
      <w:bodyDiv w:val="1"/>
      <w:marLeft w:val="0"/>
      <w:marRight w:val="0"/>
      <w:marTop w:val="0"/>
      <w:marBottom w:val="0"/>
      <w:divBdr>
        <w:top w:val="none" w:sz="0" w:space="0" w:color="auto"/>
        <w:left w:val="none" w:sz="0" w:space="0" w:color="auto"/>
        <w:bottom w:val="none" w:sz="0" w:space="0" w:color="auto"/>
        <w:right w:val="none" w:sz="0" w:space="0" w:color="auto"/>
      </w:divBdr>
    </w:div>
    <w:div w:id="1356035729">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45915235">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1992951118">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089383799">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 w:id="21362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2247</Characters>
  <Application>Microsoft Office Word</Application>
  <DocSecurity>0</DocSecurity>
  <Lines>18</Lines>
  <Paragraphs>5</Paragraphs>
  <ScaleCrop>false</ScaleCrop>
  <Company>Microsoft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7</cp:revision>
  <dcterms:created xsi:type="dcterms:W3CDTF">2021-12-03T03:54:00Z</dcterms:created>
  <dcterms:modified xsi:type="dcterms:W3CDTF">2024-06-25T08:24:00Z</dcterms:modified>
</cp:coreProperties>
</file>